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LLM Red‑Team Assessment Report</w:t>
      </w:r>
    </w:p>
    <w:p>
      <w:pPr>
        <w:jc w:val="center"/>
      </w:pPr>
      <w:r>
        <w:t>Comprehensive 20–40 Page Professional Template</w:t>
        <w:br/>
      </w:r>
    </w:p>
    <w:p>
      <w:pPr>
        <w:jc w:val="center"/>
      </w:pPr>
      <w:r>
        <w:t>Prepared by: COMPANY NAME — Offensive AI &amp; Red-Team Unit</w:t>
      </w:r>
    </w:p>
    <w:p>
      <w:pPr>
        <w:jc w:val="center"/>
      </w:pPr>
      <w:r>
        <w:t>Client: CLIENT NAME</w:t>
      </w:r>
    </w:p>
    <w:p>
      <w:pPr>
        <w:jc w:val="center"/>
      </w:pPr>
      <w:r>
        <w:t>Classification: CONFIDENTIAL</w:t>
      </w:r>
    </w:p>
    <w:p>
      <w:r>
        <w:br w:type="page"/>
      </w:r>
    </w:p>
    <w:p>
      <w:pPr>
        <w:pStyle w:val="Heading1"/>
      </w:pPr>
      <w:r>
        <w:t>1. Executive Summary</w:t>
      </w:r>
    </w:p>
    <w:p>
      <w:pPr/>
      <w:r>
        <w:t>This section summarises the overall findings, risks, and recommendations derived from the LLM red‑team assessment.</w:t>
      </w:r>
    </w:p>
    <w:p>
      <w:pPr/>
      <w:r>
        <w:t>The focus of the assessment was to evaluate the security posture, integrity, confidentiality protections, and safe operation of CLIENT NAME’s AI systems, including LLM, RAG, and agentic components.</w:t>
      </w:r>
    </w:p>
    <w:p>
      <w:r>
        <w:br w:type="page"/>
      </w:r>
    </w:p>
    <w:p>
      <w:pPr>
        <w:pStyle w:val="Heading1"/>
      </w:pPr>
      <w:r>
        <w:t>1.1 Scope Overview</w:t>
      </w:r>
    </w:p>
    <w:p>
      <w:pPr/>
      <w:r>
        <w:t>The scope of this assessment included LLM APIs, agent tool‑calling behaviours, retrieval pipelines, ingestion flows, and internal knowledge bases.</w:t>
      </w:r>
    </w:p>
    <w:p>
      <w:pPr/>
      <w:r>
        <w:t>Excluded elements included production financial systems, physical security, HR processes, and unrelated IT environments.</w:t>
      </w:r>
    </w:p>
    <w:p>
      <w:r>
        <w:br w:type="page"/>
      </w:r>
    </w:p>
    <w:p>
      <w:pPr>
        <w:pStyle w:val="Heading1"/>
      </w:pPr>
      <w:r>
        <w:t>1.2 Key Risks Identified</w:t>
      </w:r>
    </w:p>
    <w:p>
      <w:pPr/>
      <w:r>
        <w:t>• High: Potential leakage of sensitive data via model responses or RAG queries.</w:t>
      </w:r>
    </w:p>
    <w:p>
      <w:pPr/>
      <w:r>
        <w:t>• Medium: Possibility of indirect prompt injection via ingested content.</w:t>
      </w:r>
    </w:p>
    <w:p>
      <w:pPr/>
      <w:r>
        <w:t>• Low: Minor hallucination risk in low‑impact business contexts.</w:t>
      </w:r>
    </w:p>
    <w:p>
      <w:r>
        <w:br w:type="page"/>
      </w:r>
    </w:p>
    <w:p>
      <w:pPr>
        <w:pStyle w:val="Heading1"/>
      </w:pPr>
      <w:r>
        <w:t>2. Methodological Summary</w:t>
      </w:r>
    </w:p>
    <w:p>
      <w:pPr/>
      <w:r>
        <w:t>This engagement followed industry‑standard AI security practices, incorporating elements from MITRE ATLAS, NIST AI RMF, OWASP LLM Top 10, and general red‑team methodology.</w:t>
      </w:r>
    </w:p>
    <w:p>
      <w:pPr/>
      <w:r>
        <w:t>Testing involved multi‑turn adversarial probing, automated fuzzing, safety filter stress‑tests, and systematic RAG exploitation attempts.</w:t>
      </w:r>
    </w:p>
    <w:p>
      <w:r>
        <w:br w:type="page"/>
      </w:r>
    </w:p>
    <w:p>
      <w:pPr>
        <w:pStyle w:val="Heading1"/>
      </w:pPr>
      <w:r>
        <w:t>3. Rules of Engagement</w:t>
      </w:r>
    </w:p>
    <w:p>
      <w:pPr/>
      <w:r>
        <w:t>Testing was authorised under a formal RoE agreement. No destructive actions or real‑world transactions were performed.</w:t>
      </w:r>
    </w:p>
    <w:p>
      <w:pPr/>
      <w:r>
        <w:t>Synthetic identifiers were used for all personal and confidential data references.</w:t>
      </w:r>
    </w:p>
    <w:p>
      <w:r>
        <w:br w:type="page"/>
      </w:r>
    </w:p>
    <w:p>
      <w:pPr>
        <w:pStyle w:val="Heading1"/>
      </w:pPr>
      <w:r>
        <w:t>4. System Architecture Overview</w:t>
      </w:r>
    </w:p>
    <w:p>
      <w:pPr/>
      <w:r>
        <w:t>The LLM system consists of several components: an API gateway, an application layer, a large language model endpoint, a retrieval system including retrievers and generators, and a vector database storing indexed embeddings.</w:t>
      </w:r>
    </w:p>
    <w:p>
      <w:pPr/>
      <w:r>
        <w:t>Agents and tools integrated with the LLM allow function calling and workflow execution. These were evaluated for security and misuse potential.</w:t>
      </w:r>
    </w:p>
    <w:p>
      <w:r>
        <w:br w:type="page"/>
      </w:r>
    </w:p>
    <w:p>
      <w:pPr>
        <w:pStyle w:val="Heading1"/>
      </w:pPr>
      <w:r>
        <w:t>5. Threat Modelling</w:t>
      </w:r>
    </w:p>
    <w:p>
      <w:pPr/>
      <w:r>
        <w:t>Threat modelling was conducted using MITRE ATLAS, considering adversarial tactics such as prompt injection, data exfiltration, model extraction, evasion, and undue influence.</w:t>
      </w:r>
    </w:p>
    <w:p>
      <w:pPr/>
      <w:r>
        <w:t>Multiple adversary profiles were analysed, including external attackers, authenticated insiders, and privileged developers.</w:t>
      </w:r>
    </w:p>
    <w:p>
      <w:r>
        <w:br w:type="page"/>
      </w:r>
    </w:p>
    <w:p>
      <w:pPr>
        <w:pStyle w:val="Heading1"/>
      </w:pPr>
      <w:r>
        <w:t>6. Attack Surface Analysis</w:t>
      </w:r>
    </w:p>
    <w:p>
      <w:pPr/>
      <w:r>
        <w:t>Entry points include chatbot UI, internal APIs, document ingestion workflows, vector storage, agent endpoints, and tool use interfaces.</w:t>
      </w:r>
    </w:p>
    <w:p>
      <w:pPr/>
      <w:r>
        <w:t>Attack surface categories covered prompt‑layer attacks, RAG exploitation, tool misuse, model‑level weaknesses, and safety‑filter evasion.</w:t>
      </w:r>
    </w:p>
    <w:p>
      <w:r>
        <w:br w:type="page"/>
      </w:r>
    </w:p>
    <w:p>
      <w:pPr>
        <w:pStyle w:val="Heading1"/>
      </w:pPr>
      <w:r>
        <w:t>7. Manual Red‑Team Testing</w:t>
      </w:r>
    </w:p>
    <w:p>
      <w:pPr/>
      <w:r>
        <w:t>Manual testing focused on multi‑turn adversarial behaviour, role‑based manipulation, indirect prompt injection, encoded queries, emotional and authoritative manipulation, and multi‑step logic‑based prompt chaining.</w:t>
      </w:r>
    </w:p>
    <w:p>
      <w:pPr/>
      <w:r>
        <w:t>Significant effort was applied to identifying system prompts, override pathways, filter weaknesses, and output‑based data leakage.</w:t>
      </w:r>
    </w:p>
    <w:p>
      <w:r>
        <w:br w:type="page"/>
      </w:r>
    </w:p>
    <w:p>
      <w:pPr>
        <w:pStyle w:val="Heading1"/>
      </w:pPr>
      <w:r>
        <w:t>8. Automated Red‑Team Testing</w:t>
      </w:r>
    </w:p>
    <w:p>
      <w:pPr/>
      <w:r>
        <w:t>Automated fuzzing frameworks were used to generate hundreds of synthetic attack prompts, testing the system’s resilience under high coverage conditions.</w:t>
      </w:r>
    </w:p>
    <w:p>
      <w:pPr/>
      <w:r>
        <w:t>Automated tests included safety filter probing, malicious intent simulation, RAG leakage fuzzing, and multi‑intent transformations.</w:t>
      </w:r>
    </w:p>
    <w:p>
      <w:r>
        <w:br w:type="page"/>
      </w:r>
    </w:p>
    <w:p>
      <w:pPr>
        <w:pStyle w:val="Heading1"/>
      </w:pPr>
      <w:r>
        <w:t>9. Findings Summary</w:t>
      </w:r>
    </w:p>
    <w:p>
      <w:pPr/>
      <w:r>
        <w:t>This section provides a consolidated list of findings categorised by severity, impact, likelihood, affected systems, and remediation guidance.</w:t>
      </w:r>
    </w:p>
    <w:p>
      <w:r>
        <w:br w:type="page"/>
      </w:r>
    </w:p>
    <w:p>
      <w:pPr>
        <w:pStyle w:val="Heading1"/>
      </w:pPr>
      <w:r>
        <w:t>10. Detailed Findings</w:t>
      </w:r>
    </w:p>
    <w:p>
      <w:pPr/>
      <w:r>
        <w:t>Each finding includes structured evidence, screenshots, transcripts, code references, and severity scoring tied to risk frameworks.</w:t>
      </w:r>
    </w:p>
    <w:p>
      <w:r>
        <w:br w:type="page"/>
      </w:r>
    </w:p>
    <w:p>
      <w:pPr>
        <w:pStyle w:val="Heading1"/>
      </w:pPr>
      <w:r>
        <w:t>11. Recommendations and Remediation Roadmap</w:t>
      </w:r>
    </w:p>
    <w:p>
      <w:pPr/>
      <w:r>
        <w:t>A prioritised remediation plan is provided to help CLIENT NAME address systemic weaknesses, improve guardrails, and implement secure AI governance.</w:t>
      </w:r>
    </w:p>
    <w:p>
      <w:r>
        <w:br w:type="page"/>
      </w:r>
    </w:p>
    <w:p>
      <w:pPr>
        <w:pStyle w:val="Heading1"/>
      </w:pPr>
      <w:r>
        <w:t>12. Retesting Plan</w:t>
      </w:r>
    </w:p>
    <w:p>
      <w:pPr/>
      <w:r>
        <w:t>A retest is recommended following remediation, using a targeted selection of regression tests and automated verification to confirm closure.</w:t>
      </w:r>
    </w:p>
    <w:p>
      <w:r>
        <w:br w:type="page"/>
      </w:r>
    </w:p>
    <w:p>
      <w:pPr>
        <w:pStyle w:val="Heading1"/>
      </w:pPr>
      <w:r>
        <w:t>13. Appendices</w:t>
      </w:r>
    </w:p>
    <w:p>
      <w:pPr/>
      <w:r>
        <w:t>Appendices include the full test corpus, JSON logs, architecture diagrams, glossary, and mapping tables for MITRE/NIST/OWASP frameworks.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365F91" w:themeColor="accent1" w:themeShade="B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4F81BD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